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32" w:rsidRPr="001A0F06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A34632" w:rsidRPr="001A0F06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Комитета государственного заказа Ленинградской области</w:t>
      </w:r>
    </w:p>
    <w:p w:rsidR="00A34632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A34632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антимоно</w:t>
      </w:r>
      <w:r>
        <w:rPr>
          <w:b/>
          <w:szCs w:val="28"/>
        </w:rPr>
        <w:t>по</w:t>
      </w:r>
      <w:r w:rsidRPr="001A0F06">
        <w:rPr>
          <w:b/>
          <w:szCs w:val="28"/>
        </w:rPr>
        <w:t>льного законодательства в 20</w:t>
      </w:r>
      <w:r>
        <w:rPr>
          <w:b/>
          <w:szCs w:val="28"/>
        </w:rPr>
        <w:t>2</w:t>
      </w:r>
      <w:r w:rsidR="00610E9B">
        <w:rPr>
          <w:b/>
          <w:szCs w:val="28"/>
        </w:rPr>
        <w:t>3</w:t>
      </w:r>
      <w:r w:rsidRPr="001A0F06">
        <w:rPr>
          <w:b/>
          <w:szCs w:val="28"/>
        </w:rPr>
        <w:t xml:space="preserve"> году</w:t>
      </w:r>
    </w:p>
    <w:p w:rsidR="00A34632" w:rsidRDefault="00A34632" w:rsidP="00A34632">
      <w:pPr>
        <w:ind w:firstLine="709"/>
        <w:rPr>
          <w:szCs w:val="28"/>
        </w:rPr>
      </w:pP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</w:t>
      </w:r>
      <w:r w:rsidR="00BB3D52">
        <w:rPr>
          <w:szCs w:val="28"/>
        </w:rPr>
        <w:t xml:space="preserve">государственного заказа Ленинградской области (далее – Комитет) </w:t>
      </w:r>
      <w:r w:rsidRPr="006D6F16">
        <w:rPr>
          <w:szCs w:val="28"/>
        </w:rPr>
        <w:t xml:space="preserve">деятельности </w:t>
      </w:r>
      <w:r w:rsidR="00BB3D52">
        <w:rPr>
          <w:szCs w:val="28"/>
        </w:rPr>
        <w:t>за 202</w:t>
      </w:r>
      <w:r w:rsidR="00610E9B">
        <w:rPr>
          <w:szCs w:val="28"/>
        </w:rPr>
        <w:t>3</w:t>
      </w:r>
      <w:r w:rsidR="00BB3D52">
        <w:rPr>
          <w:szCs w:val="28"/>
        </w:rPr>
        <w:t xml:space="preserve"> год </w:t>
      </w:r>
      <w:r>
        <w:rPr>
          <w:szCs w:val="28"/>
        </w:rPr>
        <w:t>был</w:t>
      </w:r>
      <w:r w:rsidR="00330B7F">
        <w:rPr>
          <w:szCs w:val="28"/>
        </w:rPr>
        <w:t xml:space="preserve"> </w:t>
      </w:r>
      <w:r w:rsidR="0095748F">
        <w:rPr>
          <w:szCs w:val="28"/>
        </w:rPr>
        <w:t>проведен</w:t>
      </w:r>
      <w:r w:rsidR="00330B7F">
        <w:rPr>
          <w:szCs w:val="28"/>
        </w:rPr>
        <w:t xml:space="preserve"> сбор сведений</w:t>
      </w:r>
      <w:r w:rsidR="008E70CA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</w:t>
      </w:r>
      <w:r w:rsidR="00617B31">
        <w:rPr>
          <w:szCs w:val="28"/>
        </w:rPr>
        <w:t> </w:t>
      </w:r>
      <w:r w:rsidR="008E70CA">
        <w:rPr>
          <w:szCs w:val="28"/>
        </w:rPr>
        <w:t>для</w:t>
      </w:r>
      <w:r w:rsidRPr="006D6F16">
        <w:rPr>
          <w:szCs w:val="28"/>
        </w:rPr>
        <w:t xml:space="preserve">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</w:t>
      </w:r>
      <w:r w:rsidR="00617B31">
        <w:rPr>
          <w:szCs w:val="28"/>
        </w:rPr>
        <w:t> 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мониторинг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и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</w:t>
      </w:r>
      <w:r w:rsidR="00824093">
        <w:rPr>
          <w:szCs w:val="28"/>
        </w:rPr>
        <w:t xml:space="preserve">сбора сведений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32EA9" w:rsidRDefault="00274BB1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На</w:t>
      </w:r>
      <w:r w:rsidR="00745988">
        <w:rPr>
          <w:szCs w:val="28"/>
        </w:rPr>
        <w:t xml:space="preserve">рушения в нормативных правовых актах Комитета, проектах нормативных правовых актов, разрабатываемых </w:t>
      </w:r>
      <w:r w:rsidR="00745988" w:rsidRPr="00C31F3A">
        <w:rPr>
          <w:rFonts w:cs="Times New Roman"/>
          <w:szCs w:val="28"/>
        </w:rPr>
        <w:t>Комитетом</w:t>
      </w:r>
      <w:r>
        <w:rPr>
          <w:rFonts w:cs="Times New Roman"/>
          <w:szCs w:val="28"/>
        </w:rPr>
        <w:t>, отсутствовали</w:t>
      </w:r>
      <w:r w:rsidR="00732EA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Все нормативные правовые акты и проекты нормативных правовых актов прошли антикоррупционную </w:t>
      </w:r>
      <w:r w:rsidR="00617B31">
        <w:rPr>
          <w:rFonts w:cs="Times New Roman"/>
          <w:szCs w:val="28"/>
        </w:rPr>
        <w:t xml:space="preserve">экспертизу </w:t>
      </w:r>
      <w:r>
        <w:rPr>
          <w:rFonts w:cs="Times New Roman"/>
          <w:szCs w:val="28"/>
        </w:rPr>
        <w:t>и независимую антикоррупционную экспертизу.</w:t>
      </w:r>
    </w:p>
    <w:p w:rsidR="002737AC" w:rsidRPr="004D3B38" w:rsidRDefault="002737AC" w:rsidP="002737A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</w:p>
    <w:p w:rsidR="00824093" w:rsidRPr="004B0489" w:rsidRDefault="00BB3D52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824093">
        <w:rPr>
          <w:rFonts w:cs="Times New Roman"/>
          <w:szCs w:val="28"/>
        </w:rPr>
        <w:t xml:space="preserve">ониторинг </w:t>
      </w:r>
      <w:r w:rsidR="00824093" w:rsidRPr="006D6F16">
        <w:rPr>
          <w:szCs w:val="28"/>
        </w:rPr>
        <w:t>и анализ практики применения Комитетом антимонопольного законодательства</w:t>
      </w:r>
      <w:r w:rsidR="00824093">
        <w:rPr>
          <w:szCs w:val="28"/>
        </w:rPr>
        <w:t xml:space="preserve"> </w:t>
      </w:r>
      <w:r>
        <w:rPr>
          <w:szCs w:val="28"/>
        </w:rPr>
        <w:t xml:space="preserve">показал, что </w:t>
      </w:r>
      <w:r w:rsidR="00824093">
        <w:rPr>
          <w:szCs w:val="28"/>
        </w:rPr>
        <w:t>в предыдущие три года какие-</w:t>
      </w:r>
      <w:r w:rsidR="00824093" w:rsidRPr="004B0489">
        <w:rPr>
          <w:szCs w:val="28"/>
        </w:rPr>
        <w:t xml:space="preserve">либо нарушения антимонопольного законодательства </w:t>
      </w:r>
      <w:r>
        <w:rPr>
          <w:szCs w:val="28"/>
        </w:rPr>
        <w:t>не совершались</w:t>
      </w:r>
      <w:r w:rsidR="0095748F" w:rsidRPr="004B0489">
        <w:rPr>
          <w:szCs w:val="28"/>
        </w:rPr>
        <w:t>.</w:t>
      </w:r>
    </w:p>
    <w:p w:rsidR="00C31F3A" w:rsidRPr="004B0489" w:rsidRDefault="00F73CBF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4B0489">
        <w:rPr>
          <w:rFonts w:cs="Times New Roman"/>
          <w:szCs w:val="28"/>
        </w:rPr>
        <w:t xml:space="preserve">В соответствии с пунктом 3.3.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C31F3A" w:rsidRPr="004B0489">
        <w:rPr>
          <w:rFonts w:cs="Times New Roman"/>
          <w:szCs w:val="28"/>
        </w:rPr>
        <w:t>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  <w:proofErr w:type="gramEnd"/>
    </w:p>
    <w:p w:rsidR="00C31F3A" w:rsidRPr="004B0489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31F3A" w:rsidRPr="00C31F3A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привлечение к административной ответственности в виде</w:t>
      </w:r>
      <w:r w:rsidRPr="00C31F3A">
        <w:rPr>
          <w:rFonts w:cs="Times New Roman"/>
          <w:szCs w:val="28"/>
        </w:rPr>
        <w:t xml:space="preserve">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F73CBF" w:rsidRDefault="00BB3D52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связи с тем</w:t>
      </w:r>
      <w:r w:rsidR="00F73CBF" w:rsidRPr="00C31F3A">
        <w:rPr>
          <w:rFonts w:cs="Times New Roman"/>
          <w:szCs w:val="28"/>
        </w:rPr>
        <w:t xml:space="preserve">, что в </w:t>
      </w:r>
      <w:r>
        <w:rPr>
          <w:rFonts w:cs="Times New Roman"/>
          <w:szCs w:val="28"/>
        </w:rPr>
        <w:t>202</w:t>
      </w:r>
      <w:r w:rsidR="00610E9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году </w:t>
      </w:r>
      <w:r w:rsidR="00F73CBF" w:rsidRPr="00C31F3A">
        <w:rPr>
          <w:rFonts w:cs="Times New Roman"/>
          <w:szCs w:val="28"/>
        </w:rPr>
        <w:t>нарушени</w:t>
      </w:r>
      <w:r w:rsidR="00617B31">
        <w:rPr>
          <w:rFonts w:cs="Times New Roman"/>
          <w:szCs w:val="28"/>
        </w:rPr>
        <w:t>й</w:t>
      </w:r>
      <w:r w:rsidR="00F73CBF" w:rsidRPr="00C31F3A">
        <w:rPr>
          <w:rFonts w:cs="Times New Roman"/>
          <w:szCs w:val="28"/>
        </w:rPr>
        <w:t xml:space="preserve"> антимонопольного законодательства не </w:t>
      </w:r>
      <w:r w:rsidR="00F651D7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73CBF" w:rsidRPr="00C31F3A">
        <w:rPr>
          <w:rFonts w:cs="Times New Roman"/>
          <w:szCs w:val="28"/>
        </w:rPr>
        <w:t>, основания для осу</w:t>
      </w:r>
      <w:r w:rsidR="00D33AF4" w:rsidRPr="00C31F3A">
        <w:rPr>
          <w:rFonts w:cs="Times New Roman"/>
          <w:szCs w:val="28"/>
        </w:rPr>
        <w:t xml:space="preserve">ществления оценки рисков </w:t>
      </w:r>
      <w:r w:rsidR="00783296">
        <w:rPr>
          <w:rFonts w:cs="Times New Roman"/>
          <w:szCs w:val="28"/>
        </w:rPr>
        <w:t xml:space="preserve">за отчетный период </w:t>
      </w:r>
      <w:r w:rsidR="00D33AF4" w:rsidRPr="00C31F3A">
        <w:rPr>
          <w:rFonts w:cs="Times New Roman"/>
          <w:szCs w:val="28"/>
        </w:rPr>
        <w:t>отсутств</w:t>
      </w:r>
      <w:r>
        <w:rPr>
          <w:rFonts w:cs="Times New Roman"/>
          <w:szCs w:val="28"/>
        </w:rPr>
        <w:t>овали</w:t>
      </w:r>
      <w:r w:rsidR="00D33AF4" w:rsidRPr="00C31F3A">
        <w:rPr>
          <w:rFonts w:cs="Times New Roman"/>
          <w:szCs w:val="28"/>
        </w:rPr>
        <w:t>.</w:t>
      </w:r>
    </w:p>
    <w:p w:rsidR="00A42033" w:rsidRDefault="00A42033" w:rsidP="00A42033">
      <w:pPr>
        <w:ind w:firstLine="708"/>
        <w:rPr>
          <w:rFonts w:cs="Times New Roman"/>
          <w:szCs w:val="28"/>
        </w:rPr>
      </w:pPr>
      <w:r w:rsidRPr="009605DC">
        <w:rPr>
          <w:rFonts w:cs="Times New Roman"/>
          <w:szCs w:val="28"/>
        </w:rPr>
        <w:t xml:space="preserve">В соответствии с постановлением Правительства Ленинградской области от 27.12.2013 № 530 «Об утверждении Положения о Комитете государственного заказа Ленинградской области и признании </w:t>
      </w:r>
      <w:proofErr w:type="gramStart"/>
      <w:r w:rsidRPr="009605DC">
        <w:rPr>
          <w:rFonts w:cs="Times New Roman"/>
          <w:szCs w:val="28"/>
        </w:rPr>
        <w:t>утратившими</w:t>
      </w:r>
      <w:proofErr w:type="gramEnd"/>
      <w:r w:rsidRPr="009605DC">
        <w:rPr>
          <w:rFonts w:cs="Times New Roman"/>
          <w:szCs w:val="28"/>
        </w:rPr>
        <w:t xml:space="preserve"> силу отдельных постановлений Правительства Ленинградской области» </w:t>
      </w:r>
      <w:r w:rsidR="003F2D88">
        <w:rPr>
          <w:rFonts w:cs="Times New Roman"/>
          <w:szCs w:val="28"/>
        </w:rPr>
        <w:t xml:space="preserve">Комитет </w:t>
      </w:r>
      <w:r w:rsidRPr="009605DC">
        <w:rPr>
          <w:rFonts w:cs="Times New Roman"/>
          <w:szCs w:val="28"/>
        </w:rPr>
        <w:t>осуществляет полномочия органа, уполномоченного на определение поставщиков (подрядчиков, исполнителей) для заказчиков Ленинградской области.</w:t>
      </w:r>
      <w:r>
        <w:rPr>
          <w:rFonts w:cs="Times New Roman"/>
          <w:szCs w:val="28"/>
        </w:rPr>
        <w:t xml:space="preserve"> </w:t>
      </w:r>
    </w:p>
    <w:p w:rsidR="00B21A50" w:rsidRDefault="00617B31" w:rsidP="00B21A50">
      <w:pPr>
        <w:ind w:firstLine="708"/>
        <w:rPr>
          <w:szCs w:val="28"/>
        </w:rPr>
      </w:pPr>
      <w:r>
        <w:rPr>
          <w:szCs w:val="28"/>
        </w:rPr>
        <w:t>За</w:t>
      </w:r>
      <w:r w:rsidR="004353AE">
        <w:rPr>
          <w:szCs w:val="28"/>
        </w:rPr>
        <w:t>казчик</w:t>
      </w:r>
      <w:r>
        <w:rPr>
          <w:szCs w:val="28"/>
        </w:rPr>
        <w:t>ам</w:t>
      </w:r>
      <w:r w:rsidR="004353AE">
        <w:rPr>
          <w:szCs w:val="28"/>
        </w:rPr>
        <w:t xml:space="preserve"> Ленинградской области</w:t>
      </w:r>
      <w:r>
        <w:rPr>
          <w:szCs w:val="28"/>
        </w:rPr>
        <w:t xml:space="preserve"> направлялись </w:t>
      </w:r>
      <w:r w:rsidR="004353AE">
        <w:rPr>
          <w:szCs w:val="28"/>
        </w:rPr>
        <w:t xml:space="preserve">рекомендации по </w:t>
      </w:r>
      <w:r w:rsidR="00DC0121">
        <w:rPr>
          <w:szCs w:val="28"/>
        </w:rPr>
        <w:t>осуществлению закупок посредством</w:t>
      </w:r>
      <w:r w:rsidR="004353AE">
        <w:rPr>
          <w:szCs w:val="28"/>
        </w:rPr>
        <w:t xml:space="preserve"> изда</w:t>
      </w:r>
      <w:r w:rsidR="00DC0121">
        <w:rPr>
          <w:szCs w:val="28"/>
        </w:rPr>
        <w:t>ния</w:t>
      </w:r>
      <w:r w:rsidR="004353AE">
        <w:rPr>
          <w:szCs w:val="28"/>
        </w:rPr>
        <w:t xml:space="preserve"> </w:t>
      </w:r>
      <w:r w:rsidR="004353AE" w:rsidRPr="00B21A50">
        <w:rPr>
          <w:szCs w:val="28"/>
        </w:rPr>
        <w:t>информационны</w:t>
      </w:r>
      <w:r w:rsidR="00DC0121" w:rsidRPr="00B21A50">
        <w:rPr>
          <w:szCs w:val="28"/>
        </w:rPr>
        <w:t>х</w:t>
      </w:r>
      <w:r w:rsidR="004353AE" w:rsidRPr="00B21A50">
        <w:rPr>
          <w:szCs w:val="28"/>
        </w:rPr>
        <w:t xml:space="preserve"> пис</w:t>
      </w:r>
      <w:r w:rsidR="00DC0121" w:rsidRPr="00B21A50">
        <w:rPr>
          <w:szCs w:val="28"/>
        </w:rPr>
        <w:t>ем</w:t>
      </w:r>
      <w:r w:rsidR="004353AE" w:rsidRPr="00B21A50">
        <w:rPr>
          <w:szCs w:val="28"/>
        </w:rPr>
        <w:t xml:space="preserve">, </w:t>
      </w:r>
      <w:r w:rsidR="00DC0121" w:rsidRPr="00B21A50">
        <w:rPr>
          <w:szCs w:val="28"/>
        </w:rPr>
        <w:t>рассылаемых в</w:t>
      </w:r>
      <w:r w:rsidR="004353AE" w:rsidRPr="00B21A50">
        <w:rPr>
          <w:szCs w:val="28"/>
        </w:rPr>
        <w:t xml:space="preserve"> автоматизированной информационной систем</w:t>
      </w:r>
      <w:r w:rsidR="00DC0121" w:rsidRPr="00B21A50">
        <w:rPr>
          <w:szCs w:val="28"/>
        </w:rPr>
        <w:t>е</w:t>
      </w:r>
      <w:r w:rsidR="004353AE" w:rsidRPr="00B21A50">
        <w:rPr>
          <w:szCs w:val="28"/>
        </w:rPr>
        <w:t xml:space="preserve"> «Государственный заказ Ленинградской области». </w:t>
      </w:r>
      <w:r w:rsidR="00B21A50" w:rsidRPr="00B21A50">
        <w:rPr>
          <w:szCs w:val="28"/>
        </w:rPr>
        <w:t xml:space="preserve">Также на постоянной основе осуществляется рассылка методических материалов, презентаций и писем исполнительных органов государственной власти Российской Федерации, разъясняющих порядок применения положений законодательства о контрактной системе в сфере закупок, в которые внесены изменения посредством </w:t>
      </w:r>
      <w:r w:rsidR="00B21A50">
        <w:rPr>
          <w:szCs w:val="28"/>
        </w:rPr>
        <w:t>указанной выше системы</w:t>
      </w:r>
      <w:r w:rsidR="00B21A50" w:rsidRPr="00B21A50">
        <w:rPr>
          <w:szCs w:val="28"/>
        </w:rPr>
        <w:t>.</w:t>
      </w:r>
    </w:p>
    <w:p w:rsidR="00B21A50" w:rsidRPr="000E3870" w:rsidRDefault="00B21A50" w:rsidP="00B21A50">
      <w:pPr>
        <w:ind w:firstLine="708"/>
        <w:rPr>
          <w:szCs w:val="28"/>
        </w:rPr>
      </w:pPr>
      <w:r w:rsidRPr="000E3870">
        <w:rPr>
          <w:szCs w:val="28"/>
        </w:rPr>
        <w:t xml:space="preserve">Комитетом осуществляется мониторинг закупок для обеспечения нужд Ленинградской области и обеспечения </w:t>
      </w:r>
      <w:proofErr w:type="gramStart"/>
      <w:r w:rsidRPr="000E3870">
        <w:rPr>
          <w:szCs w:val="28"/>
        </w:rPr>
        <w:t>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</w:t>
      </w:r>
      <w:proofErr w:type="gramEnd"/>
      <w:r w:rsidRPr="000E3870">
        <w:rPr>
          <w:szCs w:val="28"/>
        </w:rPr>
        <w:t xml:space="preserve"> эффективности нормативно-правового регулирования закупок Ленинградской области. Результаты мониторинга закупок товаров, работ, услуг размещаются раз в полгода не позднее 25 числа второго месяца, следующего за отчетным периодом на официальном сайте Комитета </w:t>
      </w:r>
      <w:proofErr w:type="spellStart"/>
      <w:r w:rsidRPr="000E3870">
        <w:rPr>
          <w:szCs w:val="28"/>
          <w:lang w:val="en-US"/>
        </w:rPr>
        <w:t>gz</w:t>
      </w:r>
      <w:proofErr w:type="spellEnd"/>
      <w:r w:rsidRPr="000E3870">
        <w:rPr>
          <w:szCs w:val="28"/>
        </w:rPr>
        <w:t>.</w:t>
      </w:r>
      <w:proofErr w:type="spellStart"/>
      <w:r w:rsidRPr="000E3870">
        <w:rPr>
          <w:szCs w:val="28"/>
          <w:lang w:val="en-US"/>
        </w:rPr>
        <w:t>lenobl</w:t>
      </w:r>
      <w:proofErr w:type="spellEnd"/>
      <w:r w:rsidRPr="000E3870">
        <w:rPr>
          <w:szCs w:val="28"/>
        </w:rPr>
        <w:t>.</w:t>
      </w:r>
      <w:proofErr w:type="spellStart"/>
      <w:r w:rsidRPr="000E3870">
        <w:rPr>
          <w:szCs w:val="28"/>
          <w:lang w:val="en-US"/>
        </w:rPr>
        <w:t>ru</w:t>
      </w:r>
      <w:proofErr w:type="spellEnd"/>
      <w:r w:rsidRPr="000E3870">
        <w:rPr>
          <w:szCs w:val="28"/>
        </w:rPr>
        <w:t xml:space="preserve"> на вкладке «Мониторинг закупок товаров, работ, услуг».</w:t>
      </w:r>
      <w:r w:rsidR="000E3870">
        <w:rPr>
          <w:szCs w:val="28"/>
        </w:rPr>
        <w:t xml:space="preserve"> Нарушения в 2023 году не допускались.</w:t>
      </w:r>
    </w:p>
    <w:p w:rsidR="001A7ACF" w:rsidRPr="00A657EF" w:rsidRDefault="00457DB9" w:rsidP="00DB1FED">
      <w:pPr>
        <w:ind w:firstLine="708"/>
        <w:rPr>
          <w:szCs w:val="28"/>
        </w:rPr>
      </w:pPr>
      <w:r w:rsidRPr="00ED436D">
        <w:rPr>
          <w:szCs w:val="28"/>
        </w:rPr>
        <w:t>Комитетом на постоянной основе ведется методологическая работа с заказчиками Ленинградской области. Помимо направления информационных писем и дачи устных консультаций и ответов на запросы конкретных заказчиков Комитетом</w:t>
      </w:r>
      <w:r w:rsidR="001A7ACF">
        <w:rPr>
          <w:szCs w:val="28"/>
        </w:rPr>
        <w:t xml:space="preserve"> в 2023 году </w:t>
      </w:r>
      <w:r w:rsidR="00A657EF">
        <w:rPr>
          <w:szCs w:val="28"/>
        </w:rPr>
        <w:t>проведены 5</w:t>
      </w:r>
      <w:r w:rsidR="00A657EF" w:rsidRPr="00A657EF">
        <w:rPr>
          <w:rFonts w:cs="Times New Roman"/>
          <w:szCs w:val="28"/>
        </w:rPr>
        <w:t xml:space="preserve"> семинаров:</w:t>
      </w:r>
    </w:p>
    <w:p w:rsidR="00DB1FED" w:rsidRDefault="00A657EF" w:rsidP="00DB1FED">
      <w:pPr>
        <w:pStyle w:val="a6"/>
        <w:widowControl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DB1FED" w:rsidRPr="00271978">
        <w:rPr>
          <w:b w:val="0"/>
          <w:szCs w:val="28"/>
        </w:rPr>
        <w:t>«Об основных направлениях нормативно-правового регулирования закупок (обзор изменений в законодательстве о закупках в 2023 год</w:t>
      </w:r>
      <w:r>
        <w:rPr>
          <w:b w:val="0"/>
          <w:szCs w:val="28"/>
        </w:rPr>
        <w:t>у)», дата проведения 09.02.2023;</w:t>
      </w:r>
    </w:p>
    <w:p w:rsidR="00DB1FED" w:rsidRDefault="00A657EF" w:rsidP="00DB1FED">
      <w:pPr>
        <w:pStyle w:val="a6"/>
        <w:widowControl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DB1FED" w:rsidRPr="00EE4232">
        <w:rPr>
          <w:b w:val="0"/>
          <w:szCs w:val="28"/>
        </w:rPr>
        <w:t>«Обзор актуальных изменений в законодательстве. Антимонопольная, судебная</w:t>
      </w:r>
      <w:r w:rsidR="00DB1FED">
        <w:rPr>
          <w:b w:val="0"/>
          <w:szCs w:val="28"/>
        </w:rPr>
        <w:t xml:space="preserve"> </w:t>
      </w:r>
      <w:r w:rsidR="00DB1FED" w:rsidRPr="00EE4232">
        <w:rPr>
          <w:b w:val="0"/>
          <w:szCs w:val="28"/>
        </w:rPr>
        <w:t>и административная практики в сфере закупок»</w:t>
      </w:r>
      <w:r w:rsidR="00DB1FED" w:rsidRPr="00271978">
        <w:rPr>
          <w:b w:val="0"/>
          <w:szCs w:val="28"/>
        </w:rPr>
        <w:t xml:space="preserve">, дата проведения </w:t>
      </w:r>
      <w:r w:rsidR="00DB1FED">
        <w:rPr>
          <w:b w:val="0"/>
          <w:szCs w:val="28"/>
        </w:rPr>
        <w:t>20</w:t>
      </w:r>
      <w:r w:rsidR="00DB1FED" w:rsidRPr="00271978">
        <w:rPr>
          <w:b w:val="0"/>
          <w:szCs w:val="28"/>
        </w:rPr>
        <w:t>.0</w:t>
      </w:r>
      <w:r w:rsidR="00DB1FED">
        <w:rPr>
          <w:b w:val="0"/>
          <w:szCs w:val="28"/>
        </w:rPr>
        <w:t>4</w:t>
      </w:r>
      <w:r>
        <w:rPr>
          <w:b w:val="0"/>
          <w:szCs w:val="28"/>
        </w:rPr>
        <w:t>.2023;</w:t>
      </w:r>
    </w:p>
    <w:p w:rsidR="00A657EF" w:rsidRDefault="00A657EF" w:rsidP="00A657EF">
      <w:pPr>
        <w:pStyle w:val="a6"/>
        <w:widowControl w:val="0"/>
        <w:ind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DB1FED" w:rsidRPr="001E1EF2">
        <w:rPr>
          <w:b w:val="0"/>
          <w:bCs w:val="0"/>
          <w:szCs w:val="28"/>
        </w:rPr>
        <w:t>«Об основных направлениях нормативно-правового регулирования закупок», дата проведения 17.08.202</w:t>
      </w:r>
      <w:r w:rsidR="00DB1FED" w:rsidRPr="00271978">
        <w:rPr>
          <w:b w:val="0"/>
          <w:szCs w:val="28"/>
        </w:rPr>
        <w:t>3</w:t>
      </w:r>
      <w:r w:rsidR="00DB1FED">
        <w:rPr>
          <w:b w:val="0"/>
          <w:szCs w:val="28"/>
        </w:rPr>
        <w:t>;</w:t>
      </w:r>
    </w:p>
    <w:p w:rsidR="00DB1FED" w:rsidRPr="00A657EF" w:rsidRDefault="00A657EF" w:rsidP="00A657EF">
      <w:pPr>
        <w:pStyle w:val="a6"/>
        <w:widowControl w:val="0"/>
        <w:ind w:firstLine="709"/>
        <w:jc w:val="both"/>
        <w:rPr>
          <w:b w:val="0"/>
          <w:szCs w:val="28"/>
        </w:rPr>
      </w:pPr>
      <w:r w:rsidRPr="00A657EF">
        <w:rPr>
          <w:b w:val="0"/>
          <w:szCs w:val="28"/>
        </w:rPr>
        <w:t>-</w:t>
      </w:r>
      <w:r w:rsidR="00DB1FED" w:rsidRPr="00A657EF">
        <w:rPr>
          <w:b w:val="0"/>
          <w:szCs w:val="28"/>
        </w:rPr>
        <w:t xml:space="preserve"> </w:t>
      </w:r>
      <w:r w:rsidR="00DB1FED" w:rsidRPr="00A657EF">
        <w:rPr>
          <w:b w:val="0"/>
          <w:szCs w:val="28"/>
          <w:lang w:eastAsia="en-US"/>
        </w:rPr>
        <w:t>«Закупки медицинских изделий и лекарственных препаратов. Обзор правоприменительной практики</w:t>
      </w:r>
      <w:r w:rsidR="00DB1FED" w:rsidRPr="00A657EF">
        <w:rPr>
          <w:b w:val="0"/>
          <w:szCs w:val="28"/>
        </w:rPr>
        <w:t xml:space="preserve">», дата проведения </w:t>
      </w:r>
      <w:r>
        <w:rPr>
          <w:b w:val="0"/>
          <w:szCs w:val="28"/>
        </w:rPr>
        <w:t>30 августа 2023 года;</w:t>
      </w:r>
    </w:p>
    <w:p w:rsidR="00A657EF" w:rsidRDefault="00A657EF" w:rsidP="00A657EF">
      <w:pPr>
        <w:pStyle w:val="a6"/>
        <w:widowControl w:val="0"/>
        <w:ind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Pr="001E1EF2">
        <w:rPr>
          <w:b w:val="0"/>
          <w:bCs w:val="0"/>
          <w:szCs w:val="28"/>
        </w:rPr>
        <w:t>«</w:t>
      </w:r>
      <w:r w:rsidRPr="005C1F82">
        <w:rPr>
          <w:b w:val="0"/>
          <w:bCs w:val="0"/>
          <w:szCs w:val="28"/>
        </w:rPr>
        <w:t>Об основных направлениях нормативно-правового регулирования закупок (обзор изменений в законодательстве о закупках в 2023 году)</w:t>
      </w:r>
      <w:r w:rsidRPr="001E1EF2">
        <w:rPr>
          <w:b w:val="0"/>
          <w:bCs w:val="0"/>
          <w:szCs w:val="28"/>
        </w:rPr>
        <w:t xml:space="preserve">», дата </w:t>
      </w:r>
      <w:r w:rsidRPr="001E1EF2">
        <w:rPr>
          <w:b w:val="0"/>
          <w:bCs w:val="0"/>
          <w:szCs w:val="28"/>
        </w:rPr>
        <w:lastRenderedPageBreak/>
        <w:t xml:space="preserve">проведения </w:t>
      </w:r>
      <w:r>
        <w:rPr>
          <w:b w:val="0"/>
          <w:bCs w:val="0"/>
          <w:szCs w:val="28"/>
        </w:rPr>
        <w:t>23</w:t>
      </w:r>
      <w:r w:rsidRPr="001E1EF2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11</w:t>
      </w:r>
      <w:r w:rsidRPr="001E1EF2">
        <w:rPr>
          <w:b w:val="0"/>
          <w:bCs w:val="0"/>
          <w:szCs w:val="28"/>
        </w:rPr>
        <w:t>.202</w:t>
      </w:r>
      <w:r w:rsidRPr="00271978">
        <w:rPr>
          <w:b w:val="0"/>
          <w:szCs w:val="28"/>
        </w:rPr>
        <w:t>3</w:t>
      </w:r>
      <w:r>
        <w:rPr>
          <w:b w:val="0"/>
          <w:szCs w:val="28"/>
        </w:rPr>
        <w:t>.</w:t>
      </w:r>
    </w:p>
    <w:p w:rsidR="001A7ACF" w:rsidRPr="00A657EF" w:rsidRDefault="00457DB9" w:rsidP="00ED436D">
      <w:pPr>
        <w:ind w:firstLine="708"/>
        <w:rPr>
          <w:rFonts w:cs="Times New Roman"/>
          <w:szCs w:val="28"/>
        </w:rPr>
      </w:pPr>
      <w:r w:rsidRPr="00ED436D">
        <w:rPr>
          <w:rFonts w:cs="Times New Roman"/>
          <w:szCs w:val="28"/>
        </w:rPr>
        <w:t>В рамках выполнения государственного задания в 202</w:t>
      </w:r>
      <w:r w:rsidR="00610E9B">
        <w:rPr>
          <w:rFonts w:cs="Times New Roman"/>
          <w:szCs w:val="28"/>
        </w:rPr>
        <w:t>3</w:t>
      </w:r>
      <w:r w:rsidRPr="00ED436D">
        <w:rPr>
          <w:rFonts w:cs="Times New Roman"/>
          <w:szCs w:val="28"/>
        </w:rPr>
        <w:t xml:space="preserve"> году подведомственным Комитету </w:t>
      </w:r>
      <w:r w:rsidR="00B21A50">
        <w:rPr>
          <w:rFonts w:cs="Times New Roman"/>
          <w:szCs w:val="28"/>
        </w:rPr>
        <w:t>Г</w:t>
      </w:r>
      <w:r w:rsidRPr="00ED436D">
        <w:rPr>
          <w:rFonts w:cs="Times New Roman"/>
          <w:szCs w:val="28"/>
        </w:rPr>
        <w:t xml:space="preserve">осударственным бюджетным учреждением Ленинградской области «Фонд имущества Ленинградской области» проведено </w:t>
      </w:r>
      <w:r w:rsidR="00A657EF">
        <w:rPr>
          <w:rFonts w:cs="Times New Roman"/>
          <w:szCs w:val="28"/>
        </w:rPr>
        <w:t>7</w:t>
      </w:r>
      <w:r w:rsidR="00A657EF" w:rsidRPr="00A657EF">
        <w:rPr>
          <w:rFonts w:cs="Times New Roman"/>
          <w:szCs w:val="28"/>
        </w:rPr>
        <w:t xml:space="preserve"> семинаров:</w:t>
      </w:r>
      <w:r w:rsidR="001A7ACF" w:rsidRPr="00A657EF">
        <w:rPr>
          <w:rFonts w:cs="Times New Roman"/>
          <w:szCs w:val="28"/>
        </w:rPr>
        <w:t xml:space="preserve"> </w:t>
      </w:r>
    </w:p>
    <w:p w:rsidR="00DB1FED" w:rsidRPr="00A657EF" w:rsidRDefault="00DB1FED" w:rsidP="00DB1FED">
      <w:pPr>
        <w:pStyle w:val="a6"/>
        <w:widowControl w:val="0"/>
        <w:ind w:firstLine="709"/>
        <w:jc w:val="both"/>
        <w:rPr>
          <w:b w:val="0"/>
          <w:bCs w:val="0"/>
          <w:szCs w:val="28"/>
        </w:rPr>
      </w:pPr>
      <w:r w:rsidRPr="00A657EF">
        <w:rPr>
          <w:szCs w:val="28"/>
        </w:rPr>
        <w:t xml:space="preserve"> </w:t>
      </w:r>
      <w:r w:rsidRPr="00A657EF">
        <w:rPr>
          <w:b w:val="0"/>
          <w:bCs w:val="0"/>
          <w:szCs w:val="28"/>
        </w:rPr>
        <w:t>-</w:t>
      </w:r>
      <w:r w:rsidR="009B1D12">
        <w:rPr>
          <w:b w:val="0"/>
          <w:bCs w:val="0"/>
          <w:szCs w:val="28"/>
          <w:lang w:val="en-US"/>
        </w:rPr>
        <w:t> </w:t>
      </w:r>
      <w:r w:rsidRPr="00A657EF">
        <w:rPr>
          <w:b w:val="0"/>
          <w:bCs w:val="0"/>
          <w:szCs w:val="28"/>
        </w:rPr>
        <w:t>«Электронное актирование в 2023 году. Обзор актуальной антимонопольной, судебной и административной практики в сфере закупок»», дата проведения 16.02.2023;</w:t>
      </w:r>
    </w:p>
    <w:p w:rsidR="00DB1FED" w:rsidRPr="00A657EF" w:rsidRDefault="00DB1FED" w:rsidP="00DB1FED">
      <w:pPr>
        <w:pStyle w:val="a6"/>
        <w:widowControl w:val="0"/>
        <w:ind w:firstLine="709"/>
        <w:jc w:val="both"/>
        <w:rPr>
          <w:b w:val="0"/>
          <w:bCs w:val="0"/>
          <w:szCs w:val="28"/>
        </w:rPr>
      </w:pPr>
      <w:r w:rsidRPr="00A657EF">
        <w:rPr>
          <w:b w:val="0"/>
          <w:bCs w:val="0"/>
          <w:szCs w:val="28"/>
        </w:rPr>
        <w:t xml:space="preserve">- «Проблематика </w:t>
      </w:r>
      <w:proofErr w:type="spellStart"/>
      <w:r w:rsidRPr="00A657EF">
        <w:rPr>
          <w:b w:val="0"/>
          <w:bCs w:val="0"/>
          <w:szCs w:val="28"/>
        </w:rPr>
        <w:t>импортозамещения</w:t>
      </w:r>
      <w:proofErr w:type="spellEnd"/>
      <w:r w:rsidRPr="00A657EF">
        <w:rPr>
          <w:b w:val="0"/>
          <w:bCs w:val="0"/>
          <w:szCs w:val="28"/>
        </w:rPr>
        <w:t>: последние изменения и практика применен</w:t>
      </w:r>
      <w:r w:rsidR="009B1D12">
        <w:rPr>
          <w:b w:val="0"/>
          <w:bCs w:val="0"/>
          <w:szCs w:val="28"/>
        </w:rPr>
        <w:t>ия», дата проведения 30.03.2023;</w:t>
      </w:r>
    </w:p>
    <w:p w:rsidR="00DB1FED" w:rsidRPr="00A657EF" w:rsidRDefault="00DB1FED" w:rsidP="00DB1FED">
      <w:pPr>
        <w:pStyle w:val="a6"/>
        <w:widowControl w:val="0"/>
        <w:ind w:firstLine="709"/>
        <w:jc w:val="both"/>
        <w:rPr>
          <w:b w:val="0"/>
          <w:bCs w:val="0"/>
          <w:szCs w:val="28"/>
        </w:rPr>
      </w:pPr>
      <w:r w:rsidRPr="00A657EF">
        <w:rPr>
          <w:b w:val="0"/>
          <w:bCs w:val="0"/>
          <w:szCs w:val="28"/>
        </w:rPr>
        <w:t>- «Обзор актуальных вопросов и практики применения законодательства в сфере закупок», дата проведения 02.05.2023;</w:t>
      </w:r>
    </w:p>
    <w:p w:rsidR="00DB1FED" w:rsidRPr="00A657EF" w:rsidRDefault="00DB1FED" w:rsidP="00DB1FED">
      <w:pPr>
        <w:pStyle w:val="a6"/>
        <w:widowControl w:val="0"/>
        <w:ind w:firstLine="709"/>
        <w:jc w:val="both"/>
        <w:rPr>
          <w:b w:val="0"/>
          <w:bCs w:val="0"/>
          <w:szCs w:val="28"/>
        </w:rPr>
      </w:pPr>
      <w:r w:rsidRPr="00A657EF">
        <w:rPr>
          <w:b w:val="0"/>
          <w:bCs w:val="0"/>
          <w:szCs w:val="28"/>
        </w:rPr>
        <w:t>- «Особенности применения национального режима при осуществлении государственных и муниципальных закуп</w:t>
      </w:r>
      <w:r w:rsidR="009B1D12">
        <w:rPr>
          <w:b w:val="0"/>
          <w:bCs w:val="0"/>
          <w:szCs w:val="28"/>
        </w:rPr>
        <w:t>ок», дата проведения 29.06.2023;</w:t>
      </w:r>
    </w:p>
    <w:p w:rsidR="002E347E" w:rsidRPr="00A657EF" w:rsidRDefault="00A657EF" w:rsidP="002E347E">
      <w:pPr>
        <w:ind w:firstLine="851"/>
        <w:rPr>
          <w:szCs w:val="28"/>
        </w:rPr>
      </w:pPr>
      <w:r w:rsidRPr="00A657EF">
        <w:rPr>
          <w:szCs w:val="28"/>
        </w:rPr>
        <w:t xml:space="preserve">- </w:t>
      </w:r>
      <w:r w:rsidR="002E347E" w:rsidRPr="00A657EF">
        <w:rPr>
          <w:szCs w:val="28"/>
        </w:rPr>
        <w:t>«Закупки медицинских изделий и лекарственных препаратов. Обзор правоприменительной практики</w:t>
      </w:r>
      <w:r w:rsidR="009B1D12">
        <w:rPr>
          <w:szCs w:val="28"/>
        </w:rPr>
        <w:t>», дата проведения – 30.08.2023;</w:t>
      </w:r>
    </w:p>
    <w:p w:rsidR="00A657EF" w:rsidRPr="00A657EF" w:rsidRDefault="00A657EF" w:rsidP="00A657EF">
      <w:pPr>
        <w:ind w:firstLine="851"/>
        <w:rPr>
          <w:bCs/>
          <w:szCs w:val="28"/>
        </w:rPr>
      </w:pPr>
      <w:r w:rsidRPr="00A657EF">
        <w:rPr>
          <w:bCs/>
          <w:szCs w:val="28"/>
        </w:rPr>
        <w:t>- «</w:t>
      </w:r>
      <w:proofErr w:type="gramStart"/>
      <w:r w:rsidRPr="00A657EF">
        <w:rPr>
          <w:bCs/>
          <w:szCs w:val="28"/>
        </w:rPr>
        <w:t>Антимонопольный</w:t>
      </w:r>
      <w:proofErr w:type="gramEnd"/>
      <w:r w:rsidRPr="00A657EF">
        <w:rPr>
          <w:bCs/>
          <w:szCs w:val="28"/>
        </w:rPr>
        <w:t xml:space="preserve"> контроль-2023», дата проведения – 26.10.2023;</w:t>
      </w:r>
    </w:p>
    <w:p w:rsidR="00A657EF" w:rsidRPr="00A657EF" w:rsidRDefault="00A657EF" w:rsidP="00A657EF">
      <w:pPr>
        <w:ind w:firstLine="851"/>
        <w:rPr>
          <w:bCs/>
          <w:szCs w:val="28"/>
        </w:rPr>
      </w:pPr>
      <w:r w:rsidRPr="00A657EF">
        <w:rPr>
          <w:bCs/>
          <w:szCs w:val="28"/>
        </w:rPr>
        <w:t>-</w:t>
      </w:r>
      <w:r w:rsidR="009B1D12">
        <w:rPr>
          <w:bCs/>
          <w:szCs w:val="28"/>
          <w:lang w:val="en-US"/>
        </w:rPr>
        <w:t> </w:t>
      </w:r>
      <w:r w:rsidRPr="00A657EF">
        <w:rPr>
          <w:bCs/>
          <w:szCs w:val="28"/>
        </w:rPr>
        <w:t>«Актуальная практика антимонопольного органа. Практические вопросы исполнения контрактов», дата проведения – 27.10.2023;</w:t>
      </w:r>
    </w:p>
    <w:p w:rsidR="001A7ACF" w:rsidRPr="00A657EF" w:rsidRDefault="00A657EF" w:rsidP="00ED436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</w:t>
      </w:r>
      <w:r w:rsidRPr="00A657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Pr="00ED436D">
        <w:rPr>
          <w:rFonts w:cs="Times New Roman"/>
          <w:szCs w:val="28"/>
        </w:rPr>
        <w:t>осударственным бюджетным учреждением Ленинградской области «Фонд имущества Ленинградской области» проведено</w:t>
      </w:r>
      <w:r>
        <w:rPr>
          <w:rFonts w:cs="Times New Roman"/>
          <w:szCs w:val="28"/>
        </w:rPr>
        <w:t xml:space="preserve"> 2 </w:t>
      </w:r>
      <w:proofErr w:type="spellStart"/>
      <w:r>
        <w:rPr>
          <w:rFonts w:cs="Times New Roman"/>
          <w:szCs w:val="28"/>
        </w:rPr>
        <w:t>вебинара</w:t>
      </w:r>
      <w:proofErr w:type="spellEnd"/>
      <w:r w:rsidRPr="00A657EF">
        <w:rPr>
          <w:rFonts w:cs="Times New Roman"/>
          <w:szCs w:val="28"/>
        </w:rPr>
        <w:t xml:space="preserve">: </w:t>
      </w:r>
    </w:p>
    <w:p w:rsidR="00DB1FED" w:rsidRPr="00A657EF" w:rsidRDefault="00A657EF" w:rsidP="00DB1FED">
      <w:pPr>
        <w:ind w:firstLine="851"/>
        <w:rPr>
          <w:szCs w:val="28"/>
        </w:rPr>
      </w:pPr>
      <w:r w:rsidRPr="00A657EF">
        <w:rPr>
          <w:szCs w:val="28"/>
        </w:rPr>
        <w:t>-</w:t>
      </w:r>
      <w:r w:rsidR="009B1D12">
        <w:rPr>
          <w:szCs w:val="28"/>
          <w:lang w:val="en-US"/>
        </w:rPr>
        <w:t> </w:t>
      </w:r>
      <w:r w:rsidR="00DB1FED" w:rsidRPr="00A657EF">
        <w:rPr>
          <w:szCs w:val="28"/>
        </w:rPr>
        <w:t>«Порядок осуществления финансового контроля в контрактной системе в сфере закупок», дата проведения – 14.07.2023;</w:t>
      </w:r>
    </w:p>
    <w:p w:rsidR="00A657EF" w:rsidRPr="00A657EF" w:rsidRDefault="00A657EF" w:rsidP="00A657EF">
      <w:pPr>
        <w:ind w:firstLine="851"/>
        <w:rPr>
          <w:bCs/>
          <w:szCs w:val="28"/>
        </w:rPr>
      </w:pPr>
      <w:r w:rsidRPr="00A657EF">
        <w:rPr>
          <w:bCs/>
          <w:szCs w:val="28"/>
        </w:rPr>
        <w:t>- «Закупка лекарственных препаратов и медицинских изделий в 2023 году», дата проведения – 07.12.2023.</w:t>
      </w:r>
    </w:p>
    <w:p w:rsidR="004353AE" w:rsidRPr="00ED436D" w:rsidRDefault="004353AE" w:rsidP="004353AE">
      <w:pPr>
        <w:ind w:firstLine="708"/>
        <w:rPr>
          <w:szCs w:val="28"/>
        </w:rPr>
      </w:pPr>
      <w:r w:rsidRPr="00ED436D">
        <w:rPr>
          <w:szCs w:val="28"/>
        </w:rPr>
        <w:t>Основания для проведения оценки регулирующего воздействия правовых актов Комитета и действий (бездействия), которые могли бы привести к недопущению, ограничению, устранению конкуренции, отсутствовали.</w:t>
      </w:r>
    </w:p>
    <w:p w:rsidR="004353AE" w:rsidRDefault="004353AE" w:rsidP="004353AE">
      <w:pPr>
        <w:ind w:firstLine="708"/>
        <w:rPr>
          <w:szCs w:val="28"/>
        </w:rPr>
      </w:pPr>
      <w:r w:rsidRPr="00ED436D">
        <w:rPr>
          <w:szCs w:val="28"/>
        </w:rPr>
        <w:t>Субсидии на конкурсной основе Комитет не предоставлял.</w:t>
      </w:r>
    </w:p>
    <w:p w:rsidR="002737AC" w:rsidRDefault="002737AC" w:rsidP="002737A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="00A42673">
        <w:rPr>
          <w:szCs w:val="28"/>
        </w:rPr>
        <w:t>.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2737AC" w:rsidRPr="002737AC" w:rsidRDefault="002737AC" w:rsidP="002737AC">
      <w:pPr>
        <w:ind w:firstLine="708"/>
        <w:rPr>
          <w:szCs w:val="28"/>
        </w:rPr>
      </w:pPr>
      <w:r>
        <w:rPr>
          <w:szCs w:val="28"/>
        </w:rPr>
        <w:t xml:space="preserve">Сроки </w:t>
      </w:r>
      <w:r w:rsidRPr="002737AC">
        <w:rPr>
          <w:szCs w:val="28"/>
        </w:rPr>
        <w:t>ответа на обращения ставятся на контроль посредством использования системы электронного оборота.</w:t>
      </w:r>
    </w:p>
    <w:p w:rsidR="002737AC" w:rsidRPr="002737AC" w:rsidRDefault="002737AC" w:rsidP="002737AC">
      <w:pPr>
        <w:ind w:firstLine="708"/>
        <w:rPr>
          <w:szCs w:val="28"/>
        </w:rPr>
      </w:pPr>
      <w:r w:rsidRPr="002737AC"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 w:rsidRPr="002737AC">
        <w:rPr>
          <w:szCs w:val="28"/>
        </w:rPr>
        <w:t>за</w:t>
      </w:r>
      <w:proofErr w:type="gramEnd"/>
      <w:r w:rsidRPr="002737AC">
        <w:rPr>
          <w:szCs w:val="28"/>
        </w:rPr>
        <w:t xml:space="preserve"> антимонопольный </w:t>
      </w:r>
      <w:proofErr w:type="spellStart"/>
      <w:r w:rsidRPr="002737AC">
        <w:rPr>
          <w:szCs w:val="28"/>
        </w:rPr>
        <w:t>комплаенс</w:t>
      </w:r>
      <w:proofErr w:type="spellEnd"/>
      <w:r w:rsidRPr="002737AC">
        <w:rPr>
          <w:szCs w:val="28"/>
        </w:rPr>
        <w:t>.</w:t>
      </w:r>
    </w:p>
    <w:p w:rsidR="000E7A6F" w:rsidRPr="002737AC" w:rsidRDefault="004353AE" w:rsidP="000E7A6F">
      <w:pPr>
        <w:ind w:firstLine="708"/>
        <w:rPr>
          <w:szCs w:val="28"/>
        </w:rPr>
      </w:pPr>
      <w:r w:rsidRPr="002737AC">
        <w:rPr>
          <w:szCs w:val="28"/>
        </w:rPr>
        <w:t xml:space="preserve">Соглашения об осуществлении межрегиональных связей </w:t>
      </w:r>
      <w:r w:rsidR="002737AC" w:rsidRPr="002737AC">
        <w:rPr>
          <w:szCs w:val="28"/>
        </w:rPr>
        <w:t>Комитетом не заключались</w:t>
      </w:r>
      <w:r w:rsidRPr="002737AC">
        <w:rPr>
          <w:szCs w:val="28"/>
        </w:rPr>
        <w:t>.</w:t>
      </w:r>
    </w:p>
    <w:p w:rsidR="00410AC5" w:rsidRPr="002737AC" w:rsidRDefault="005E635E" w:rsidP="00410AC5">
      <w:pPr>
        <w:ind w:firstLine="709"/>
        <w:rPr>
          <w:szCs w:val="28"/>
        </w:rPr>
      </w:pPr>
      <w:r w:rsidRPr="002737AC">
        <w:rPr>
          <w:szCs w:val="28"/>
        </w:rPr>
        <w:t>К</w:t>
      </w:r>
      <w:r w:rsidR="00410AC5" w:rsidRPr="002737AC">
        <w:rPr>
          <w:szCs w:val="28"/>
        </w:rPr>
        <w:t xml:space="preserve">лючевыми показателями эффективности </w:t>
      </w:r>
      <w:proofErr w:type="gramStart"/>
      <w:r w:rsidR="00410AC5" w:rsidRPr="002737AC">
        <w:rPr>
          <w:szCs w:val="28"/>
        </w:rPr>
        <w:t>антимонопольного</w:t>
      </w:r>
      <w:proofErr w:type="gramEnd"/>
      <w:r w:rsidR="00410AC5" w:rsidRPr="002737AC">
        <w:rPr>
          <w:szCs w:val="28"/>
        </w:rPr>
        <w:t xml:space="preserve"> </w:t>
      </w:r>
      <w:proofErr w:type="spellStart"/>
      <w:r w:rsidR="00410AC5" w:rsidRPr="002737AC">
        <w:rPr>
          <w:szCs w:val="28"/>
        </w:rPr>
        <w:t>комплаенса</w:t>
      </w:r>
      <w:proofErr w:type="spellEnd"/>
      <w:r w:rsidR="00410AC5" w:rsidRPr="002737AC">
        <w:rPr>
          <w:szCs w:val="28"/>
        </w:rPr>
        <w:t xml:space="preserve"> </w:t>
      </w:r>
      <w:r w:rsidRPr="002737AC">
        <w:rPr>
          <w:szCs w:val="28"/>
        </w:rPr>
        <w:t xml:space="preserve">в Комитете </w:t>
      </w:r>
      <w:r w:rsidR="00410AC5" w:rsidRPr="002737AC">
        <w:rPr>
          <w:szCs w:val="28"/>
        </w:rPr>
        <w:t>являются: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2737AC">
        <w:rPr>
          <w:szCs w:val="28"/>
        </w:rPr>
        <w:lastRenderedPageBreak/>
        <w:t>1.</w:t>
      </w:r>
      <w:r w:rsidR="00617B31" w:rsidRPr="002737AC">
        <w:rPr>
          <w:szCs w:val="28"/>
        </w:rPr>
        <w:t> </w:t>
      </w:r>
      <w:r w:rsidRPr="002737AC">
        <w:rPr>
          <w:szCs w:val="28"/>
        </w:rPr>
        <w:t xml:space="preserve">Коэффициент снижения количества нарушений антимонопольного законодательства Комитетом (за </w:t>
      </w:r>
      <w:r w:rsidRPr="00AD09C9">
        <w:rPr>
          <w:szCs w:val="28"/>
        </w:rPr>
        <w:t>отчетный год по сравнению с предыдущим годом).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617B31">
        <w:rPr>
          <w:szCs w:val="28"/>
        </w:rPr>
        <w:t> </w:t>
      </w:r>
      <w:r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</w:t>
      </w:r>
      <w:r w:rsidR="009B1D12">
        <w:rPr>
          <w:szCs w:val="28"/>
          <w:lang w:val="en-US"/>
        </w:rPr>
        <w:t> </w:t>
      </w:r>
      <w:bookmarkStart w:id="0" w:name="_GoBack"/>
      <w:bookmarkEnd w:id="0"/>
      <w:r w:rsidRPr="00AD09C9">
        <w:rPr>
          <w:szCs w:val="28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410AC5" w:rsidRDefault="00410AC5" w:rsidP="00410AC5">
      <w:pPr>
        <w:ind w:firstLine="708"/>
        <w:rPr>
          <w:szCs w:val="28"/>
        </w:rPr>
      </w:pPr>
      <w:r>
        <w:rPr>
          <w:szCs w:val="28"/>
        </w:rPr>
        <w:t xml:space="preserve">Все три показателя имеют нулевое значение. </w:t>
      </w:r>
    </w:p>
    <w:p w:rsidR="00EF1710" w:rsidRDefault="00EF1710" w:rsidP="00EF1710">
      <w:pPr>
        <w:rPr>
          <w:szCs w:val="28"/>
        </w:rPr>
      </w:pPr>
    </w:p>
    <w:p w:rsidR="00EF1710" w:rsidRDefault="00EF1710" w:rsidP="00EF1710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sectPr w:rsidR="001531E7" w:rsidSect="00BF701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21" w:rsidRDefault="00295E21" w:rsidP="00EF1710">
      <w:r>
        <w:separator/>
      </w:r>
    </w:p>
  </w:endnote>
  <w:endnote w:type="continuationSeparator" w:id="0">
    <w:p w:rsidR="00295E21" w:rsidRDefault="00295E21" w:rsidP="00EF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21" w:rsidRDefault="00295E21" w:rsidP="00EF1710">
      <w:r>
        <w:separator/>
      </w:r>
    </w:p>
  </w:footnote>
  <w:footnote w:type="continuationSeparator" w:id="0">
    <w:p w:rsidR="00295E21" w:rsidRDefault="00295E21" w:rsidP="00EF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40453"/>
      <w:docPartObj>
        <w:docPartGallery w:val="Page Numbers (Top of Page)"/>
        <w:docPartUnique/>
      </w:docPartObj>
    </w:sdtPr>
    <w:sdtEndPr/>
    <w:sdtContent>
      <w:p w:rsidR="00BF701C" w:rsidRDefault="00BF70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12">
          <w:rPr>
            <w:noProof/>
          </w:rPr>
          <w:t>4</w:t>
        </w:r>
        <w:r>
          <w:fldChar w:fldCharType="end"/>
        </w:r>
      </w:p>
    </w:sdtContent>
  </w:sdt>
  <w:p w:rsidR="00EF1710" w:rsidRDefault="00EF17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BBB"/>
    <w:multiLevelType w:val="hybridMultilevel"/>
    <w:tmpl w:val="8BF0F768"/>
    <w:lvl w:ilvl="0" w:tplc="BAA83B5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131F2"/>
    <w:rsid w:val="0003383B"/>
    <w:rsid w:val="00036449"/>
    <w:rsid w:val="00062A2C"/>
    <w:rsid w:val="00097D12"/>
    <w:rsid w:val="000A356C"/>
    <w:rsid w:val="000A726E"/>
    <w:rsid w:val="000B5CBA"/>
    <w:rsid w:val="000D671F"/>
    <w:rsid w:val="000E3870"/>
    <w:rsid w:val="000E7A6F"/>
    <w:rsid w:val="0011732F"/>
    <w:rsid w:val="0013157C"/>
    <w:rsid w:val="001531E7"/>
    <w:rsid w:val="00155C14"/>
    <w:rsid w:val="00162363"/>
    <w:rsid w:val="001944C3"/>
    <w:rsid w:val="001A7ACF"/>
    <w:rsid w:val="00212E1D"/>
    <w:rsid w:val="00257F23"/>
    <w:rsid w:val="002626E6"/>
    <w:rsid w:val="002737AC"/>
    <w:rsid w:val="00274A11"/>
    <w:rsid w:val="00274BB1"/>
    <w:rsid w:val="00295E21"/>
    <w:rsid w:val="002A0D1C"/>
    <w:rsid w:val="002E347E"/>
    <w:rsid w:val="002F14BD"/>
    <w:rsid w:val="003211E2"/>
    <w:rsid w:val="00330B7F"/>
    <w:rsid w:val="00385141"/>
    <w:rsid w:val="00387666"/>
    <w:rsid w:val="003A533C"/>
    <w:rsid w:val="003C4CAA"/>
    <w:rsid w:val="003E0903"/>
    <w:rsid w:val="003F2D88"/>
    <w:rsid w:val="003F511E"/>
    <w:rsid w:val="004046E9"/>
    <w:rsid w:val="00410AC5"/>
    <w:rsid w:val="00417233"/>
    <w:rsid w:val="004353AE"/>
    <w:rsid w:val="00435D81"/>
    <w:rsid w:val="00441822"/>
    <w:rsid w:val="00457DB9"/>
    <w:rsid w:val="00467B12"/>
    <w:rsid w:val="004B0489"/>
    <w:rsid w:val="004B212B"/>
    <w:rsid w:val="004B4A8F"/>
    <w:rsid w:val="004D760C"/>
    <w:rsid w:val="00544C02"/>
    <w:rsid w:val="00561A7E"/>
    <w:rsid w:val="005B5E5B"/>
    <w:rsid w:val="005E635E"/>
    <w:rsid w:val="005F7826"/>
    <w:rsid w:val="00610E9B"/>
    <w:rsid w:val="00617B31"/>
    <w:rsid w:val="00621A55"/>
    <w:rsid w:val="00636515"/>
    <w:rsid w:val="00691968"/>
    <w:rsid w:val="006F126E"/>
    <w:rsid w:val="006F1704"/>
    <w:rsid w:val="007067DA"/>
    <w:rsid w:val="007172F7"/>
    <w:rsid w:val="007203EE"/>
    <w:rsid w:val="00732EA9"/>
    <w:rsid w:val="00741024"/>
    <w:rsid w:val="00745988"/>
    <w:rsid w:val="00751BB5"/>
    <w:rsid w:val="00754BBE"/>
    <w:rsid w:val="007623F4"/>
    <w:rsid w:val="00783296"/>
    <w:rsid w:val="007B5EE2"/>
    <w:rsid w:val="007D5968"/>
    <w:rsid w:val="007D645E"/>
    <w:rsid w:val="007D6957"/>
    <w:rsid w:val="00812564"/>
    <w:rsid w:val="00824093"/>
    <w:rsid w:val="0087009D"/>
    <w:rsid w:val="008B170C"/>
    <w:rsid w:val="008E70CA"/>
    <w:rsid w:val="0091046B"/>
    <w:rsid w:val="009514B3"/>
    <w:rsid w:val="0095748F"/>
    <w:rsid w:val="009642A0"/>
    <w:rsid w:val="009B1D12"/>
    <w:rsid w:val="009D1A2D"/>
    <w:rsid w:val="009D1F48"/>
    <w:rsid w:val="009E0102"/>
    <w:rsid w:val="009F5ACB"/>
    <w:rsid w:val="00A34632"/>
    <w:rsid w:val="00A42033"/>
    <w:rsid w:val="00A42673"/>
    <w:rsid w:val="00A657EF"/>
    <w:rsid w:val="00AC0993"/>
    <w:rsid w:val="00AE31A2"/>
    <w:rsid w:val="00AE3F8C"/>
    <w:rsid w:val="00B21A50"/>
    <w:rsid w:val="00B53818"/>
    <w:rsid w:val="00B7353E"/>
    <w:rsid w:val="00BA2E2E"/>
    <w:rsid w:val="00BB1D7E"/>
    <w:rsid w:val="00BB3D52"/>
    <w:rsid w:val="00BC6B1D"/>
    <w:rsid w:val="00BF701C"/>
    <w:rsid w:val="00BF7103"/>
    <w:rsid w:val="00C132A9"/>
    <w:rsid w:val="00C24EC6"/>
    <w:rsid w:val="00C31F3A"/>
    <w:rsid w:val="00C445EC"/>
    <w:rsid w:val="00C70A5A"/>
    <w:rsid w:val="00C76EA3"/>
    <w:rsid w:val="00CB67B8"/>
    <w:rsid w:val="00CD5E95"/>
    <w:rsid w:val="00CF0749"/>
    <w:rsid w:val="00CF702C"/>
    <w:rsid w:val="00D33AF4"/>
    <w:rsid w:val="00D514CD"/>
    <w:rsid w:val="00D83713"/>
    <w:rsid w:val="00DB1FED"/>
    <w:rsid w:val="00DC0121"/>
    <w:rsid w:val="00DF03D6"/>
    <w:rsid w:val="00E1780A"/>
    <w:rsid w:val="00E63047"/>
    <w:rsid w:val="00E83D66"/>
    <w:rsid w:val="00EA1940"/>
    <w:rsid w:val="00EB47D3"/>
    <w:rsid w:val="00ED436D"/>
    <w:rsid w:val="00EE66EE"/>
    <w:rsid w:val="00EF1710"/>
    <w:rsid w:val="00F145CA"/>
    <w:rsid w:val="00F23A48"/>
    <w:rsid w:val="00F33858"/>
    <w:rsid w:val="00F651D7"/>
    <w:rsid w:val="00F67EAB"/>
    <w:rsid w:val="00F73CBF"/>
    <w:rsid w:val="00F920DF"/>
    <w:rsid w:val="00FB17F7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6">
    <w:name w:val="Title"/>
    <w:basedOn w:val="a"/>
    <w:link w:val="a7"/>
    <w:qFormat/>
    <w:rsid w:val="00457DB9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457DB9"/>
    <w:rPr>
      <w:rFonts w:eastAsia="Times New Roman" w:cs="Times New Roman"/>
      <w:b/>
      <w:bCs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710"/>
  </w:style>
  <w:style w:type="paragraph" w:styleId="aa">
    <w:name w:val="footer"/>
    <w:basedOn w:val="a"/>
    <w:link w:val="ab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710"/>
  </w:style>
  <w:style w:type="paragraph" w:styleId="ac">
    <w:name w:val="List Paragraph"/>
    <w:basedOn w:val="a"/>
    <w:uiPriority w:val="34"/>
    <w:qFormat/>
    <w:rsid w:val="00B21A50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1A7AC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AC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6">
    <w:name w:val="Title"/>
    <w:basedOn w:val="a"/>
    <w:link w:val="a7"/>
    <w:qFormat/>
    <w:rsid w:val="00457DB9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457DB9"/>
    <w:rPr>
      <w:rFonts w:eastAsia="Times New Roman" w:cs="Times New Roman"/>
      <w:b/>
      <w:bCs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710"/>
  </w:style>
  <w:style w:type="paragraph" w:styleId="aa">
    <w:name w:val="footer"/>
    <w:basedOn w:val="a"/>
    <w:link w:val="ab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710"/>
  </w:style>
  <w:style w:type="paragraph" w:styleId="ac">
    <w:name w:val="List Paragraph"/>
    <w:basedOn w:val="a"/>
    <w:uiPriority w:val="34"/>
    <w:qFormat/>
    <w:rsid w:val="00B21A50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1A7AC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A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Яна Игоревна Базанова</cp:lastModifiedBy>
  <cp:revision>7</cp:revision>
  <cp:lastPrinted>2020-02-05T10:28:00Z</cp:lastPrinted>
  <dcterms:created xsi:type="dcterms:W3CDTF">2024-02-07T13:59:00Z</dcterms:created>
  <dcterms:modified xsi:type="dcterms:W3CDTF">2024-02-08T15:49:00Z</dcterms:modified>
</cp:coreProperties>
</file>