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E" w:rsidRPr="006D6F16" w:rsidRDefault="00B7353E" w:rsidP="00B7353E">
      <w:pPr>
        <w:ind w:firstLine="709"/>
        <w:rPr>
          <w:szCs w:val="28"/>
        </w:rPr>
      </w:pPr>
      <w:bookmarkStart w:id="0" w:name="_GoBack"/>
      <w:bookmarkEnd w:id="0"/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</w:t>
      </w:r>
      <w:r w:rsidR="00BB3D52">
        <w:rPr>
          <w:szCs w:val="28"/>
        </w:rPr>
        <w:t xml:space="preserve">государственного заказа Ленинградской области (далее – Комитет) </w:t>
      </w:r>
      <w:r w:rsidRPr="006D6F16">
        <w:rPr>
          <w:szCs w:val="28"/>
        </w:rPr>
        <w:t xml:space="preserve">деятельности </w:t>
      </w:r>
      <w:r w:rsidR="00BB3D52">
        <w:rPr>
          <w:szCs w:val="28"/>
        </w:rPr>
        <w:t xml:space="preserve">за 2020 год </w:t>
      </w:r>
      <w:r>
        <w:rPr>
          <w:szCs w:val="28"/>
        </w:rPr>
        <w:t>был</w:t>
      </w:r>
      <w:r w:rsidR="00330B7F">
        <w:rPr>
          <w:szCs w:val="28"/>
        </w:rPr>
        <w:t xml:space="preserve"> </w:t>
      </w:r>
      <w:r w:rsidR="0095748F">
        <w:rPr>
          <w:szCs w:val="28"/>
        </w:rPr>
        <w:t>проведен</w:t>
      </w:r>
      <w:r w:rsidR="00330B7F">
        <w:rPr>
          <w:szCs w:val="28"/>
        </w:rPr>
        <w:t xml:space="preserve"> сбор сведений</w:t>
      </w:r>
      <w:r w:rsidR="008E70CA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</w:t>
      </w:r>
      <w:r w:rsidR="008E70CA">
        <w:rPr>
          <w:szCs w:val="28"/>
        </w:rPr>
        <w:t xml:space="preserve"> для</w:t>
      </w:r>
      <w:r w:rsidRPr="006D6F16">
        <w:rPr>
          <w:szCs w:val="28"/>
        </w:rPr>
        <w:t xml:space="preserve">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мониторинг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и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</w:t>
      </w:r>
      <w:r w:rsidR="00824093">
        <w:rPr>
          <w:szCs w:val="28"/>
        </w:rPr>
        <w:t xml:space="preserve">сбора сведений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32EA9" w:rsidRDefault="00745988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 xml:space="preserve">Аналогично отсутствуют нарушения в нормативных правовых актах Комитета, проектах нормативных правовых актов, разрабатываемых </w:t>
      </w:r>
      <w:r w:rsidRPr="00C31F3A">
        <w:rPr>
          <w:rFonts w:cs="Times New Roman"/>
          <w:szCs w:val="28"/>
        </w:rPr>
        <w:t>Комитетом</w:t>
      </w:r>
      <w:r w:rsidR="00732EA9">
        <w:rPr>
          <w:rFonts w:cs="Times New Roman"/>
          <w:szCs w:val="28"/>
        </w:rPr>
        <w:t xml:space="preserve">. </w:t>
      </w:r>
    </w:p>
    <w:p w:rsidR="00824093" w:rsidRPr="004B0489" w:rsidRDefault="00BB3D52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824093">
        <w:rPr>
          <w:rFonts w:cs="Times New Roman"/>
          <w:szCs w:val="28"/>
        </w:rPr>
        <w:t xml:space="preserve">ониторинг </w:t>
      </w:r>
      <w:r w:rsidR="00824093" w:rsidRPr="006D6F16">
        <w:rPr>
          <w:szCs w:val="28"/>
        </w:rPr>
        <w:t>и анализ практики применения Комитетом антимонопольного законодательства</w:t>
      </w:r>
      <w:r w:rsidR="00824093">
        <w:rPr>
          <w:szCs w:val="28"/>
        </w:rPr>
        <w:t xml:space="preserve"> </w:t>
      </w:r>
      <w:r>
        <w:rPr>
          <w:szCs w:val="28"/>
        </w:rPr>
        <w:t xml:space="preserve">показал, что </w:t>
      </w:r>
      <w:r w:rsidR="00824093">
        <w:rPr>
          <w:szCs w:val="28"/>
        </w:rPr>
        <w:t>в предыдущие три года какие-</w:t>
      </w:r>
      <w:r w:rsidR="00824093" w:rsidRPr="004B0489">
        <w:rPr>
          <w:szCs w:val="28"/>
        </w:rPr>
        <w:t xml:space="preserve">либо нарушения антимонопольного законодательства </w:t>
      </w:r>
      <w:r>
        <w:rPr>
          <w:szCs w:val="28"/>
        </w:rPr>
        <w:t>не совершались</w:t>
      </w:r>
      <w:r w:rsidR="0095748F" w:rsidRPr="004B0489">
        <w:rPr>
          <w:szCs w:val="28"/>
        </w:rPr>
        <w:t>.</w:t>
      </w:r>
    </w:p>
    <w:p w:rsidR="00C31F3A" w:rsidRPr="004B0489" w:rsidRDefault="00F73CBF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4B0489">
        <w:rPr>
          <w:rFonts w:cs="Times New Roman"/>
          <w:szCs w:val="28"/>
        </w:rPr>
        <w:t xml:space="preserve">В соответствии с пунктом 3.3.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C31F3A" w:rsidRPr="004B0489">
        <w:rPr>
          <w:rFonts w:cs="Times New Roman"/>
          <w:szCs w:val="28"/>
        </w:rPr>
        <w:t>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  <w:proofErr w:type="gramEnd"/>
    </w:p>
    <w:p w:rsidR="00C31F3A" w:rsidRPr="004B0489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31F3A" w:rsidRPr="00C31F3A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t>привлечение к административной ответственности в виде</w:t>
      </w:r>
      <w:r w:rsidRPr="00C31F3A">
        <w:rPr>
          <w:rFonts w:cs="Times New Roman"/>
          <w:szCs w:val="28"/>
        </w:rPr>
        <w:t xml:space="preserve">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F73CBF" w:rsidRDefault="00BB3D52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тем</w:t>
      </w:r>
      <w:r w:rsidR="00F73CBF" w:rsidRPr="00C31F3A">
        <w:rPr>
          <w:rFonts w:cs="Times New Roman"/>
          <w:szCs w:val="28"/>
        </w:rPr>
        <w:t xml:space="preserve">, что в </w:t>
      </w:r>
      <w:r>
        <w:rPr>
          <w:rFonts w:cs="Times New Roman"/>
          <w:szCs w:val="28"/>
        </w:rPr>
        <w:t xml:space="preserve">2020 году </w:t>
      </w:r>
      <w:r w:rsidR="00F73CBF" w:rsidRPr="00C31F3A">
        <w:rPr>
          <w:rFonts w:cs="Times New Roman"/>
          <w:szCs w:val="28"/>
        </w:rPr>
        <w:t xml:space="preserve">нарушений антимонопольного законодательства не </w:t>
      </w:r>
      <w:r w:rsidR="00F651D7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73CBF" w:rsidRPr="00C31F3A">
        <w:rPr>
          <w:rFonts w:cs="Times New Roman"/>
          <w:szCs w:val="28"/>
        </w:rPr>
        <w:t>, основания для осу</w:t>
      </w:r>
      <w:r w:rsidR="00D33AF4" w:rsidRPr="00C31F3A">
        <w:rPr>
          <w:rFonts w:cs="Times New Roman"/>
          <w:szCs w:val="28"/>
        </w:rPr>
        <w:t xml:space="preserve">ществления оценки рисков </w:t>
      </w:r>
      <w:r w:rsidR="00783296">
        <w:rPr>
          <w:rFonts w:cs="Times New Roman"/>
          <w:szCs w:val="28"/>
        </w:rPr>
        <w:t xml:space="preserve">за отчетный период </w:t>
      </w:r>
      <w:r w:rsidR="00D33AF4" w:rsidRPr="00C31F3A">
        <w:rPr>
          <w:rFonts w:cs="Times New Roman"/>
          <w:szCs w:val="28"/>
        </w:rPr>
        <w:t>отсутств</w:t>
      </w:r>
      <w:r>
        <w:rPr>
          <w:rFonts w:cs="Times New Roman"/>
          <w:szCs w:val="28"/>
        </w:rPr>
        <w:t>овали</w:t>
      </w:r>
      <w:r w:rsidR="00D33AF4" w:rsidRPr="00C31F3A">
        <w:rPr>
          <w:rFonts w:cs="Times New Roman"/>
          <w:szCs w:val="28"/>
        </w:rPr>
        <w:t>.</w:t>
      </w:r>
    </w:p>
    <w:p w:rsidR="00A42033" w:rsidRDefault="00A42033" w:rsidP="00A42033">
      <w:pPr>
        <w:ind w:firstLine="708"/>
        <w:rPr>
          <w:rFonts w:cs="Times New Roman"/>
          <w:szCs w:val="28"/>
        </w:rPr>
      </w:pPr>
      <w:r w:rsidRPr="009605DC">
        <w:rPr>
          <w:rFonts w:cs="Times New Roman"/>
          <w:szCs w:val="28"/>
        </w:rPr>
        <w:t xml:space="preserve">В соответствии с постановлением Правительства Ленинградской области от 27.12.2013 № 530 «Об утверждении Положения о Комитете государственного заказа Ленинградской области и признании </w:t>
      </w:r>
      <w:proofErr w:type="gramStart"/>
      <w:r w:rsidRPr="009605DC">
        <w:rPr>
          <w:rFonts w:cs="Times New Roman"/>
          <w:szCs w:val="28"/>
        </w:rPr>
        <w:t>утратившими</w:t>
      </w:r>
      <w:proofErr w:type="gramEnd"/>
      <w:r w:rsidRPr="009605DC">
        <w:rPr>
          <w:rFonts w:cs="Times New Roman"/>
          <w:szCs w:val="28"/>
        </w:rPr>
        <w:t xml:space="preserve"> силу отдельных постановлений Правительства Ленинградской области» </w:t>
      </w:r>
      <w:r w:rsidR="003F2D88">
        <w:rPr>
          <w:rFonts w:cs="Times New Roman"/>
          <w:szCs w:val="28"/>
        </w:rPr>
        <w:t xml:space="preserve">Комитет </w:t>
      </w:r>
      <w:r w:rsidRPr="009605DC">
        <w:rPr>
          <w:rFonts w:cs="Times New Roman"/>
          <w:szCs w:val="28"/>
        </w:rPr>
        <w:t>осуществляет полномочия органа, уполномоченного на определение поставщиков (подрядчиков, исполнителей) для заказчиков Ленинградской области.</w:t>
      </w:r>
      <w:r>
        <w:rPr>
          <w:rFonts w:cs="Times New Roman"/>
          <w:szCs w:val="28"/>
        </w:rPr>
        <w:t xml:space="preserve"> </w:t>
      </w:r>
    </w:p>
    <w:p w:rsidR="004353AE" w:rsidRDefault="004353AE" w:rsidP="004353AE">
      <w:pPr>
        <w:ind w:firstLine="708"/>
        <w:rPr>
          <w:szCs w:val="28"/>
        </w:rPr>
      </w:pPr>
      <w:r>
        <w:rPr>
          <w:szCs w:val="28"/>
        </w:rPr>
        <w:t xml:space="preserve">Для заказчиков Ленинградской области, включая представителей исполнительных органов власти, выполняющих функции контрактных </w:t>
      </w:r>
      <w:r>
        <w:rPr>
          <w:szCs w:val="28"/>
        </w:rPr>
        <w:lastRenderedPageBreak/>
        <w:t xml:space="preserve">управляющих (сотрудников контрактных служб), рекомендации по описанию объектов закупок доводились на семинарах, </w:t>
      </w:r>
      <w:proofErr w:type="spellStart"/>
      <w:r>
        <w:rPr>
          <w:szCs w:val="28"/>
        </w:rPr>
        <w:t>вебинарах</w:t>
      </w:r>
      <w:proofErr w:type="spellEnd"/>
      <w:r>
        <w:rPr>
          <w:szCs w:val="28"/>
        </w:rPr>
        <w:t>, а также издавались информационные письма, разосланные посредством автоматизированной информационной системы «Государственный заказ Ленинградской области». Непосредственно Комитетом было проведено 5 семинаров.</w:t>
      </w:r>
    </w:p>
    <w:p w:rsidR="004353AE" w:rsidRDefault="004353AE" w:rsidP="004353AE">
      <w:pPr>
        <w:ind w:firstLine="708"/>
      </w:pPr>
      <w:r>
        <w:t xml:space="preserve">Обучающие мероприятия проводились также подведомственным Комитету Государственным бюджетным учреждением Ленинградской области «Фонд имущества Ленинградской области». </w:t>
      </w:r>
      <w:r>
        <w:rPr>
          <w:szCs w:val="28"/>
        </w:rPr>
        <w:t xml:space="preserve">Так, в рамках государственного задания было дано 5 методических рекомендаций и проведено 8 семинаров и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 xml:space="preserve">. </w:t>
      </w:r>
    </w:p>
    <w:p w:rsidR="004353AE" w:rsidRDefault="004353AE" w:rsidP="004353AE">
      <w:pPr>
        <w:ind w:firstLine="708"/>
        <w:rPr>
          <w:szCs w:val="28"/>
        </w:rPr>
      </w:pPr>
      <w:r>
        <w:rPr>
          <w:szCs w:val="28"/>
        </w:rPr>
        <w:t>Основания для проведения оценки регулирующего воздействия правовых актов Комитета и действий (бездействия), которые могли бы привести к недопущению, ограничению, устранению конкуренции, отсутствовали.</w:t>
      </w:r>
    </w:p>
    <w:p w:rsidR="004353AE" w:rsidRDefault="004353AE" w:rsidP="004353AE">
      <w:pPr>
        <w:ind w:firstLine="708"/>
        <w:rPr>
          <w:szCs w:val="28"/>
        </w:rPr>
      </w:pPr>
      <w:r>
        <w:rPr>
          <w:szCs w:val="28"/>
        </w:rPr>
        <w:t>Субсидии на конкурсной основе Комитет не предоставлял.</w:t>
      </w:r>
    </w:p>
    <w:p w:rsidR="000E7A6F" w:rsidRDefault="004353AE" w:rsidP="000E7A6F">
      <w:pPr>
        <w:ind w:firstLine="708"/>
        <w:rPr>
          <w:szCs w:val="28"/>
        </w:rPr>
      </w:pPr>
      <w:r>
        <w:rPr>
          <w:szCs w:val="28"/>
        </w:rPr>
        <w:t>Соглашения об осуществлении межрегиональных связей у Комитета отсутствуют.</w:t>
      </w:r>
    </w:p>
    <w:p w:rsidR="00410AC5" w:rsidRPr="00AD09C9" w:rsidRDefault="005E635E" w:rsidP="00410AC5">
      <w:pPr>
        <w:ind w:firstLine="709"/>
        <w:rPr>
          <w:szCs w:val="28"/>
        </w:rPr>
      </w:pPr>
      <w:r>
        <w:rPr>
          <w:szCs w:val="28"/>
        </w:rPr>
        <w:t>К</w:t>
      </w:r>
      <w:r w:rsidR="00410AC5" w:rsidRPr="00AD09C9">
        <w:rPr>
          <w:szCs w:val="28"/>
        </w:rPr>
        <w:t xml:space="preserve">лючевыми показателями эффективности </w:t>
      </w:r>
      <w:proofErr w:type="gramStart"/>
      <w:r w:rsidR="00410AC5" w:rsidRPr="00AD09C9">
        <w:rPr>
          <w:szCs w:val="28"/>
        </w:rPr>
        <w:t>антимонопольного</w:t>
      </w:r>
      <w:proofErr w:type="gramEnd"/>
      <w:r w:rsidR="00410AC5" w:rsidRPr="00AD09C9">
        <w:rPr>
          <w:szCs w:val="28"/>
        </w:rPr>
        <w:t xml:space="preserve"> </w:t>
      </w:r>
      <w:proofErr w:type="spellStart"/>
      <w:r w:rsidR="00410AC5" w:rsidRPr="00AD09C9">
        <w:rPr>
          <w:szCs w:val="28"/>
        </w:rPr>
        <w:t>комплаенса</w:t>
      </w:r>
      <w:proofErr w:type="spellEnd"/>
      <w:r w:rsidR="00410AC5" w:rsidRPr="00AD09C9">
        <w:rPr>
          <w:szCs w:val="28"/>
        </w:rPr>
        <w:t xml:space="preserve"> </w:t>
      </w:r>
      <w:r>
        <w:rPr>
          <w:szCs w:val="28"/>
        </w:rPr>
        <w:t xml:space="preserve">в Комитете </w:t>
      </w:r>
      <w:r w:rsidR="00410AC5" w:rsidRPr="00AD09C9">
        <w:rPr>
          <w:szCs w:val="28"/>
        </w:rPr>
        <w:t>являются: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410AC5" w:rsidRDefault="00410AC5" w:rsidP="00410AC5">
      <w:pPr>
        <w:ind w:firstLine="708"/>
        <w:rPr>
          <w:szCs w:val="28"/>
        </w:rPr>
      </w:pPr>
      <w:r>
        <w:rPr>
          <w:szCs w:val="28"/>
        </w:rPr>
        <w:t xml:space="preserve">Все три показателя имеют нулевое значение. </w:t>
      </w:r>
    </w:p>
    <w:sectPr w:rsidR="00410AC5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0E7A6F"/>
    <w:rsid w:val="0011732F"/>
    <w:rsid w:val="0013157C"/>
    <w:rsid w:val="00155C14"/>
    <w:rsid w:val="001944C3"/>
    <w:rsid w:val="00257F23"/>
    <w:rsid w:val="002626E6"/>
    <w:rsid w:val="002A0D1C"/>
    <w:rsid w:val="002F14BD"/>
    <w:rsid w:val="003211E2"/>
    <w:rsid w:val="00330B7F"/>
    <w:rsid w:val="00385141"/>
    <w:rsid w:val="00387666"/>
    <w:rsid w:val="003A533C"/>
    <w:rsid w:val="003C4CAA"/>
    <w:rsid w:val="003E0903"/>
    <w:rsid w:val="003F2D88"/>
    <w:rsid w:val="003F511E"/>
    <w:rsid w:val="00410AC5"/>
    <w:rsid w:val="00417233"/>
    <w:rsid w:val="004353AE"/>
    <w:rsid w:val="00435D81"/>
    <w:rsid w:val="00441822"/>
    <w:rsid w:val="00467B12"/>
    <w:rsid w:val="004B0489"/>
    <w:rsid w:val="004B212B"/>
    <w:rsid w:val="004B4A8F"/>
    <w:rsid w:val="004D760C"/>
    <w:rsid w:val="00544C02"/>
    <w:rsid w:val="00561A7E"/>
    <w:rsid w:val="005B5E5B"/>
    <w:rsid w:val="005E635E"/>
    <w:rsid w:val="00621A55"/>
    <w:rsid w:val="00636515"/>
    <w:rsid w:val="006F126E"/>
    <w:rsid w:val="006F1704"/>
    <w:rsid w:val="007067DA"/>
    <w:rsid w:val="007172F7"/>
    <w:rsid w:val="007203EE"/>
    <w:rsid w:val="00732EA9"/>
    <w:rsid w:val="00745988"/>
    <w:rsid w:val="00751BB5"/>
    <w:rsid w:val="00754BBE"/>
    <w:rsid w:val="007623F4"/>
    <w:rsid w:val="00783296"/>
    <w:rsid w:val="0078341A"/>
    <w:rsid w:val="007D5968"/>
    <w:rsid w:val="007D645E"/>
    <w:rsid w:val="007D6957"/>
    <w:rsid w:val="00812564"/>
    <w:rsid w:val="00824093"/>
    <w:rsid w:val="008B170C"/>
    <w:rsid w:val="008E70CA"/>
    <w:rsid w:val="0091046B"/>
    <w:rsid w:val="0095748F"/>
    <w:rsid w:val="009642A0"/>
    <w:rsid w:val="009D1A2D"/>
    <w:rsid w:val="009D1F48"/>
    <w:rsid w:val="009F5ACB"/>
    <w:rsid w:val="00A42033"/>
    <w:rsid w:val="00AC0993"/>
    <w:rsid w:val="00AE31A2"/>
    <w:rsid w:val="00AE3F8C"/>
    <w:rsid w:val="00B7353E"/>
    <w:rsid w:val="00BA2E2E"/>
    <w:rsid w:val="00BB1D7E"/>
    <w:rsid w:val="00BB3D52"/>
    <w:rsid w:val="00BC6B1D"/>
    <w:rsid w:val="00BF7103"/>
    <w:rsid w:val="00C132A9"/>
    <w:rsid w:val="00C31F3A"/>
    <w:rsid w:val="00C445EC"/>
    <w:rsid w:val="00C70A5A"/>
    <w:rsid w:val="00C76EA3"/>
    <w:rsid w:val="00CB67B8"/>
    <w:rsid w:val="00CD5E95"/>
    <w:rsid w:val="00CF0749"/>
    <w:rsid w:val="00CF702C"/>
    <w:rsid w:val="00D33AF4"/>
    <w:rsid w:val="00D514CD"/>
    <w:rsid w:val="00D83713"/>
    <w:rsid w:val="00DF03D6"/>
    <w:rsid w:val="00E1780A"/>
    <w:rsid w:val="00E63047"/>
    <w:rsid w:val="00E83D66"/>
    <w:rsid w:val="00EA1940"/>
    <w:rsid w:val="00EB47D3"/>
    <w:rsid w:val="00F145CA"/>
    <w:rsid w:val="00F33858"/>
    <w:rsid w:val="00F651D7"/>
    <w:rsid w:val="00F67EAB"/>
    <w:rsid w:val="00F73CBF"/>
    <w:rsid w:val="00F920D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Лариса Анатольевна МУРАДОВА</cp:lastModifiedBy>
  <cp:revision>2</cp:revision>
  <cp:lastPrinted>2020-02-05T10:28:00Z</cp:lastPrinted>
  <dcterms:created xsi:type="dcterms:W3CDTF">2021-07-07T06:00:00Z</dcterms:created>
  <dcterms:modified xsi:type="dcterms:W3CDTF">2021-07-07T06:00:00Z</dcterms:modified>
</cp:coreProperties>
</file>